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Data Classification Report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Project: nextjs-saas-example</w:t>
      </w:r>
    </w:p>
    <w:p>
      <w:r>
        <w:t xml:space="preserve">Company: Acme Inc</w:t>
      </w:r>
    </w:p>
    <w:p>
      <w:r>
        <w:t xml:space="preserve">Generated: 2026-03-19</w:t>
      </w:r>
    </w:p>
    <w:p>
      <w:r>
        <w:t xml:space="preserve">Classification Standard: GDPR (General Data Protection Regulation)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Data Dictionary (`DATA_DICTIONARY.md`)</w:t>
      </w:r>
    </w:p>
    <w:p>
      <w:pPr>
        <w:pStyle w:val="ListParagraph"/>
        <w:numPr>
          <w:ilvl w:val="0"/>
          <w:numId w:val="1"/>
        </w:numPr>
      </w:pPr>
      <w:r>
        <w:t xml:space="preserve">Data Retention Policy (`DATA_RETENTION_POLICY.md`)</w:t>
      </w:r>
    </w:p>
    <w:p>
      <w:pPr>
        <w:pStyle w:val="ListParagraph"/>
        <w:numPr>
          <w:ilvl w:val="0"/>
          <w:numId w:val="1"/>
        </w:numPr>
      </w:pPr>
      <w:r>
        <w:t xml:space="preserve">Privacy Policy (`PRIVACY_POLICY.md`)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Summary</w:t>
      </w:r>
    </w:p>
    <w:p>
      <w:r>
        <w:rPr>
          <w:sz w:val="20"/>
        </w:rPr>
        <w:t xml:space="preserve">Sensitivity Level  |  Count  |  Description</w:t>
      </w:r>
    </w:p>
    <w:p>
      <w:r>
        <w:rPr>
          <w:sz w:val="20"/>
        </w:rPr>
        <w:t xml:space="preserve">Special Category (Art. 9)  |  2  |  Health, biometric, genetic, racial, political, religious, sexual orientation, trade union</w:t>
      </w:r>
    </w:p>
    <w:p>
      <w:r>
        <w:rPr>
          <w:sz w:val="20"/>
        </w:rPr>
        <w:t xml:space="preserve">High  |  12  |  Financial (PCI), government ID (SSN), authentication credentials</w:t>
      </w:r>
    </w:p>
    <w:p>
      <w:r>
        <w:rPr>
          <w:sz w:val="20"/>
        </w:rPr>
        <w:t xml:space="preserve">Medium  |  8  |  Contact info (email, phone), identity (name, DOB), location</w:t>
      </w:r>
    </w:p>
    <w:p>
      <w:r>
        <w:rPr>
          <w:sz w:val="20"/>
        </w:rPr>
        <w:t xml:space="preserve">Low  |  26  |  Behavioral (analytics), technical (IP, device info), preferences</w:t>
      </w:r>
    </w:p>
    <w:p>
      <w:r>
        <w:t xml:space="preserve">Total classified fields: 48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Detailed Classification</w:t>
      </w:r>
    </w:p>
    <w:p>
      <w:r>
        <w:rPr>
          <w:sz w:val="20"/>
        </w:rPr>
        <w:t xml:space="preserve">Field  |  Source  |  Sensitivity  |  GDPR Category  |  Retention</w:t>
      </w:r>
    </w:p>
    <w:p>
      <w:r>
        <w:rPr>
          <w:sz w:val="20"/>
        </w:rPr>
        <w:t xml:space="preserve">stack traces  |  @sentry/node  |  Special Category (Art. 9)  |  Racial/ethnic origin (Art. 9)  |  Delete when no longer necessary; max 1 year</w:t>
      </w:r>
    </w:p>
    <w:p>
      <w:r>
        <w:rPr>
          <w:sz w:val="20"/>
        </w:rPr>
        <w:t xml:space="preserve">Error reports, stack traces, performance data, and user context collected through monitoring tools.  |  @sentry/node  |  Special Category (Art. 9)  |  Racial/ethnic origin (Art. 9)  |  Delete when no longer necessary; max 1 year</w:t>
      </w:r>
    </w:p>
    <w:p>
      <w:r>
        <w:rPr>
          <w:sz w:val="20"/>
        </w:rPr>
        <w:t xml:space="preserve">password hash  |  @supabase/supabase-js  |  High  |  Authentication credential  |  Until account deletion; rotate regularly</w:t>
      </w:r>
    </w:p>
    <w:p>
      <w:r>
        <w:rPr>
          <w:sz w:val="20"/>
        </w:rPr>
        <w:t xml:space="preserve">payment information  |  stripe  |  High  |  Financial — payment data  |  7 years (tax/legal compliance)</w:t>
      </w:r>
    </w:p>
    <w:p>
      <w:r>
        <w:rPr>
          <w:sz w:val="20"/>
        </w:rPr>
        <w:t xml:space="preserve">billing address  |  stripe  |  High  |  Financial — payment data  |  7 years (tax/legal compliance)</w:t>
      </w:r>
    </w:p>
    <w:p>
      <w:r>
        <w:rPr>
          <w:sz w:val="20"/>
        </w:rPr>
        <w:t xml:space="preserve">transaction history  |  stripe  |  High  |  Financial — payment data  |  7 years (tax/legal compliance)</w:t>
      </w:r>
    </w:p>
    <w:p>
      <w:r>
        <w:rPr>
          <w:sz w:val="20"/>
        </w:rPr>
        <w:t xml:space="preserve">payment information  |  stripe-ios  |  High  |  Financial — payment data  |  7 years (tax/legal compliance)</w:t>
      </w:r>
    </w:p>
    <w:p>
      <w:r>
        <w:rPr>
          <w:sz w:val="20"/>
        </w:rPr>
        <w:t xml:space="preserve">billing address  |  stripe-ios  |  High  |  Financial — payment data  |  7 years (tax/legal compliance)</w:t>
      </w:r>
    </w:p>
    <w:p>
      <w:r>
        <w:rPr>
          <w:sz w:val="20"/>
        </w:rPr>
        <w:t xml:space="preserve">transaction history  |  stripe-ios  |  High  |  Financial — payment data  |  7 years (tax/legal compliance)</w:t>
      </w:r>
    </w:p>
    <w:p>
      <w:r>
        <w:rPr>
          <w:sz w:val="20"/>
        </w:rPr>
        <w:t xml:space="preserve">Email addresses, names, profile pictures, and account credentials collected through authentication. names detected in Prisma schema fields: User.name.  |  @supabase/supabase-js  |  High  |  Authentication credential  |  Until account deletion; rotate regularly</w:t>
      </w:r>
    </w:p>
    <w:p>
      <w:r>
        <w:rPr>
          <w:sz w:val="20"/>
        </w:rPr>
        <w:t xml:space="preserve">Email addresses, names, profile pictures, and account credentials collected through authentication. names detected in Prisma schema fields: User.name.  |  User.name  |  High  |  Authentication credential  |  Until account deletion; rotate regularly</w:t>
      </w:r>
    </w:p>
    <w:p>
      <w:r>
        <w:rPr>
          <w:sz w:val="20"/>
        </w:rPr>
        <w:t xml:space="preserve">Payment card information, billing addresses, and transaction history processed through payment providers.  |  stripe  |  High  |  Financial — payment data  |  7 years (tax/legal compliance)</w:t>
      </w:r>
    </w:p>
    <w:p>
      <w:r>
        <w:rPr>
          <w:sz w:val="20"/>
        </w:rPr>
        <w:t xml:space="preserve">Payment card information, billing addresses, and transaction history processed through payment providers.  |  stripe-ios  |  High  |  Financial — payment data  |  7 years (tax/legal compliance)</w:t>
      </w:r>
    </w:p>
    <w:p>
      <w:r>
        <w:rPr>
          <w:sz w:val="20"/>
        </w:rPr>
        <w:t xml:space="preserve">password hashes detected in Prisma schema fields: User.passwordHash.  |  User.passwordHash  |  High  |  Authentication credential  |  Until account deletion; rotate regularly</w:t>
      </w:r>
    </w:p>
    <w:p>
      <w:r>
        <w:rPr>
          <w:sz w:val="20"/>
        </w:rPr>
        <w:t xml:space="preserve">email  |  @supabase/supabase-js  |  Medium  |  Contact — email  |  Until account deletion or consent withdrawal</w:t>
      </w:r>
    </w:p>
    <w:p>
      <w:r>
        <w:rPr>
          <w:sz w:val="20"/>
        </w:rPr>
        <w:t xml:space="preserve">email addresses  |  resend  |  Medium  |  Contact — email  |  Until account deletion or consent withdrawal</w:t>
      </w:r>
    </w:p>
    <w:p>
      <w:r>
        <w:rPr>
          <w:sz w:val="20"/>
        </w:rPr>
        <w:t xml:space="preserve">email content  |  resend  |  Medium  |  Contact — email  |  Until account deletion or consent withdrawal</w:t>
      </w:r>
    </w:p>
    <w:p>
      <w:r>
        <w:rPr>
          <w:sz w:val="20"/>
        </w:rPr>
        <w:t xml:space="preserve">email  |  stripe  |  Medium  |  Contact — email  |  Until account deletion or consent withdrawal</w:t>
      </w:r>
    </w:p>
    <w:p>
      <w:r>
        <w:rPr>
          <w:sz w:val="20"/>
        </w:rPr>
        <w:t xml:space="preserve">email  |  stripe-ios  |  Medium  |  Contact — email  |  Until account deletion or consent withdrawal</w:t>
      </w:r>
    </w:p>
    <w:p>
      <w:r>
        <w:rPr>
          <w:sz w:val="20"/>
        </w:rPr>
        <w:t xml:space="preserve">Email addresses and email content processed through email service providers.  |  resend  |  Medium  |  Contact — email  |  Until account deletion or consent withdrawal</w:t>
      </w:r>
    </w:p>
    <w:p>
      <w:r>
        <w:rPr>
          <w:sz w:val="20"/>
        </w:rPr>
        <w:t xml:space="preserve">email addresses, phone numbers detected in Prisma schema fields: User.email, User.phone.  |  User.email  |  Medium  |  Contact — email  |  Until account deletion or consent withdrawal</w:t>
      </w:r>
    </w:p>
    <w:p>
      <w:r>
        <w:rPr>
          <w:sz w:val="20"/>
        </w:rPr>
        <w:t xml:space="preserve">email addresses, phone numbers detected in Prisma schema fields: User.email, User.phone.  |  User.phone  |  Medium  |  Contact — email  |  Until account deletion or consent withdrawal</w:t>
      </w:r>
    </w:p>
    <w:p>
      <w:r>
        <w:rPr>
          <w:sz w:val="20"/>
        </w:rPr>
        <w:t xml:space="preserve">error data  |  @sentry/node  |  Low  |  Technical — diagnostics  |  90 days</w:t>
      </w:r>
    </w:p>
    <w:p>
      <w:r>
        <w:rPr>
          <w:sz w:val="20"/>
        </w:rPr>
        <w:t xml:space="preserve">user context  |  @sentry/node  |  Low  |  Unclassified data  |  Review and define retention policy</w:t>
      </w:r>
    </w:p>
    <w:p>
      <w:r>
        <w:rPr>
          <w:sz w:val="20"/>
        </w:rPr>
        <w:t xml:space="preserve">device information  |  @sentry/node  |  Low  |  Technical — device/network  |  90 days</w:t>
      </w:r>
    </w:p>
    <w:p>
      <w:r>
        <w:rPr>
          <w:sz w:val="20"/>
        </w:rPr>
        <w:t xml:space="preserve">IP address  |  @sentry/node  |  Low  |  Technical — device/network  |  90 days</w:t>
      </w:r>
    </w:p>
    <w:p>
      <w:r>
        <w:rPr>
          <w:sz w:val="20"/>
        </w:rPr>
        <w:t xml:space="preserve">session data  |  @supabase/supabase-js  |  Low  |  Behavioral — analytics  |  26 months</w:t>
      </w:r>
    </w:p>
    <w:p>
      <w:r>
        <w:rPr>
          <w:sz w:val="20"/>
        </w:rPr>
        <w:t xml:space="preserve">user metadata  |  @supabase/supabase-js  |  Low  |  Unclassified data  |  Review and define retention policy</w:t>
      </w:r>
    </w:p>
    <w:p>
      <w:r>
        <w:rPr>
          <w:sz w:val="20"/>
        </w:rPr>
        <w:t xml:space="preserve">user prompts  |  openai  |  Low  |  Unclassified data  |  Review and define retention policy</w:t>
      </w:r>
    </w:p>
    <w:p>
      <w:r>
        <w:rPr>
          <w:sz w:val="20"/>
        </w:rPr>
        <w:t xml:space="preserve">conversation history  |  openai  |  Low  |  Unclassified data  |  Review and define retention policy</w:t>
      </w:r>
    </w:p>
    <w:p>
      <w:r>
        <w:rPr>
          <w:sz w:val="20"/>
        </w:rPr>
        <w:t xml:space="preserve">generated content  |  openai  |  Low  |  Unclassified data  |  Review and define retention policy</w:t>
      </w:r>
    </w:p>
    <w:p>
      <w:r>
        <w:rPr>
          <w:sz w:val="20"/>
        </w:rPr>
        <w:t xml:space="preserve">user behavior  |  posthog  |  Low  |  Behavioral — analytics  |  26 months</w:t>
      </w:r>
    </w:p>
    <w:p>
      <w:r>
        <w:rPr>
          <w:sz w:val="20"/>
        </w:rPr>
        <w:t xml:space="preserve">session recordings  |  posthog  |  Low  |  Behavioral — analytics  |  26 months</w:t>
      </w:r>
    </w:p>
    <w:p>
      <w:r>
        <w:rPr>
          <w:sz w:val="20"/>
        </w:rPr>
        <w:t xml:space="preserve">feature flag usage  |  posthog  |  Low  |  Unclassified data  |  Review and define retention policy</w:t>
      </w:r>
    </w:p>
    <w:p>
      <w:r>
        <w:rPr>
          <w:sz w:val="20"/>
        </w:rPr>
        <w:t xml:space="preserve">device information  |  posthog  |  Low  |  Technical — device/network  |  90 days</w:t>
      </w:r>
    </w:p>
    <w:p>
      <w:r>
        <w:rPr>
          <w:sz w:val="20"/>
        </w:rPr>
        <w:t xml:space="preserve">user data as defined in schema  |  prisma  |  Low  |  Unclassified data  |  Review and define retention policy</w:t>
      </w:r>
    </w:p>
    <w:p>
      <w:r>
        <w:rPr>
          <w:sz w:val="20"/>
        </w:rPr>
        <w:t xml:space="preserve">Usage &amp; Behavioral Data  |  posthog  |  Low  |  Behavioral — analytics  |  26 months</w:t>
      </w:r>
    </w:p>
    <w:p>
      <w:r>
        <w:rPr>
          <w:sz w:val="20"/>
        </w:rPr>
        <w:t xml:space="preserve">AI Interaction Data  |  openai  |  Low  |  Unclassified data  |  Review and define retention policy</w:t>
      </w:r>
    </w:p>
    <w:p>
      <w:r>
        <w:rPr>
          <w:sz w:val="20"/>
        </w:rPr>
        <w:t xml:space="preserve">Stored User Data  |  prisma  |  Low  |  Unclassified data  |  Review and define retention policy</w:t>
      </w:r>
    </w:p>
    <w:p>
      <w:r>
        <w:rPr>
          <w:sz w:val="20"/>
        </w:rPr>
        <w:t xml:space="preserve">Personal Identity Data  |  category:Personal Identity Data  |  Low  |  Unclassified data  |  Review and define retention policy</w:t>
      </w:r>
    </w:p>
    <w:p>
      <w:r>
        <w:rPr>
          <w:sz w:val="20"/>
        </w:rPr>
        <w:t xml:space="preserve">Financial Data  |  category:Financial Data  |  Low  |  Unclassified data  |  Review and define retention policy</w:t>
      </w:r>
    </w:p>
    <w:p>
      <w:r>
        <w:rPr>
          <w:sz w:val="20"/>
        </w:rPr>
        <w:t xml:space="preserve">Usage &amp; Behavioral Data  |  category:Usage &amp; Behavioral Data  |  Low  |  Behavioral — analytics  |  26 months</w:t>
      </w:r>
    </w:p>
    <w:p>
      <w:r>
        <w:rPr>
          <w:sz w:val="20"/>
        </w:rPr>
        <w:t xml:space="preserve">AI Interaction Data  |  category:AI Interaction Data  |  Low  |  Unclassified data  |  Review and define retention policy</w:t>
      </w:r>
    </w:p>
    <w:p>
      <w:r>
        <w:rPr>
          <w:sz w:val="20"/>
        </w:rPr>
        <w:t xml:space="preserve">Communication Data  |  category:Communication Data  |  Low  |  Unclassified data  |  Review and define retention policy</w:t>
      </w:r>
    </w:p>
    <w:p>
      <w:r>
        <w:rPr>
          <w:sz w:val="20"/>
        </w:rPr>
        <w:t xml:space="preserve">Technical &amp; Diagnostic Data  |  category:Technical &amp; Diagnostic Data  |  Low  |  Unclassified data  |  Review and define retention policy</w:t>
      </w:r>
    </w:p>
    <w:p>
      <w:r>
        <w:rPr>
          <w:sz w:val="20"/>
        </w:rPr>
        <w:t xml:space="preserve">Stored User Data  |  category:Stored User Data  |  Low  |  Unclassified data  |  Review and define retention policy</w:t>
      </w:r>
    </w:p>
    <w:p>
      <w:r>
        <w:rPr>
          <w:sz w:val="20"/>
        </w:rPr>
        <w:t xml:space="preserve">Contact Information  |  category:Contact Information  |  Low  |  Unclassified data  |  Review and define retention policy</w:t>
      </w:r>
    </w:p>
    <w:p>
      <w:r>
        <w:rPr>
          <w:sz w:val="20"/>
        </w:rPr>
        <w:t xml:space="preserve">Authentication Data  |  category:Authentication Data  |  Low  |  Unclassified data  |  Review and define retention policy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Recommendations</w:t>
      </w:r>
    </w:p>
    <w:p>
      <w:pPr>
        <w:pStyle w:val="Heading3"/>
      </w:pPr>
      <w:r>
        <w:t>Special Category Data (Art. 9) — 2 field(s)</w:t>
      </w:r>
    </w:p>
    <w:p>
      <w:pPr>
        <w:pStyle w:val="ListParagraph"/>
        <w:numPr>
          <w:ilvl w:val="0"/>
          <w:numId w:val="1"/>
        </w:numPr>
      </w:pPr>
      <w:r>
        <w:t xml:space="preserve">**Explicit consent required** (Art. 9(2)(a)): Standard consent is not sufficient; obtain explicit, informed consent for each specific purpose</w:t>
      </w:r>
    </w:p>
    <w:p>
      <w:pPr>
        <w:pStyle w:val="ListParagraph"/>
        <w:numPr>
          <w:ilvl w:val="0"/>
          <w:numId w:val="1"/>
        </w:numPr>
      </w:pPr>
      <w:r>
        <w:t xml:space="preserve">**Data Protection Impact Assessment (DPIA)** required under Art. 35 before processing</w:t>
      </w:r>
    </w:p>
    <w:p>
      <w:pPr>
        <w:pStyle w:val="ListParagraph"/>
        <w:numPr>
          <w:ilvl w:val="0"/>
          <w:numId w:val="1"/>
        </w:numPr>
      </w:pPr>
      <w:r>
        <w:t xml:space="preserve">**Appoint a Data Protection Officer (DPO)** if processing special categories at scale</w:t>
      </w:r>
    </w:p>
    <w:p>
      <w:pPr>
        <w:pStyle w:val="ListParagraph"/>
        <w:numPr>
          <w:ilvl w:val="0"/>
          <w:numId w:val="1"/>
        </w:numPr>
      </w:pPr>
      <w:r>
        <w:t xml:space="preserve">**Encryption at rest and in transit** is mandatory; consider additional access controls</w:t>
      </w:r>
    </w:p>
    <w:p>
      <w:pPr>
        <w:pStyle w:val="ListParagraph"/>
        <w:numPr>
          <w:ilvl w:val="0"/>
          <w:numId w:val="1"/>
        </w:numPr>
      </w:pPr>
      <w:r>
        <w:t xml:space="preserve">**Minimize collection**: Only collect what is strictly necessary for the stated purpose</w:t>
      </w:r>
    </w:p>
    <w:p>
      <w:pPr>
        <w:pStyle w:val="ListParagraph"/>
        <w:numPr>
          <w:ilvl w:val="0"/>
          <w:numId w:val="1"/>
        </w:numPr>
      </w:pPr>
      <w:r>
        <w:t xml:space="preserve">**Audit logging**: Maintain detailed access logs for all special category data</w:t>
      </w:r>
    </w:p>
    <w:p>
      <w:pPr>
        <w:pStyle w:val="Heading3"/>
      </w:pPr>
      <w:r>
        <w:t>High Sensitivity Data — 12 field(s)</w:t>
      </w:r>
    </w:p>
    <w:p>
      <w:pPr>
        <w:pStyle w:val="ListParagraph"/>
        <w:numPr>
          <w:ilvl w:val="0"/>
          <w:numId w:val="1"/>
        </w:numPr>
      </w:pPr>
      <w:r>
        <w:t xml:space="preserve">**Encrypt at rest and in transit** using industry-standard algorithms (AES-256, TLS 1.2+)</w:t>
      </w:r>
    </w:p>
    <w:p>
      <w:pPr>
        <w:pStyle w:val="ListParagraph"/>
        <w:numPr>
          <w:ilvl w:val="0"/>
          <w:numId w:val="1"/>
        </w:numPr>
      </w:pPr>
      <w:r>
        <w:t xml:space="preserve">**Tokenize payment data** — never store raw card numbers (PCI DSS requirement)</w:t>
      </w:r>
    </w:p>
    <w:p>
      <w:pPr>
        <w:pStyle w:val="ListParagraph"/>
        <w:numPr>
          <w:ilvl w:val="0"/>
          <w:numId w:val="1"/>
        </w:numPr>
      </w:pPr>
      <w:r>
        <w:t xml:space="preserve">**Hash credentials** with bcrypt, scrypt, or Argon2; never store plaintext passwords</w:t>
      </w:r>
    </w:p>
    <w:p>
      <w:pPr>
        <w:pStyle w:val="ListParagraph"/>
        <w:numPr>
          <w:ilvl w:val="0"/>
          <w:numId w:val="1"/>
        </w:numPr>
      </w:pPr>
      <w:r>
        <w:t xml:space="preserve">**Limit access** to personnel with a business need; implement role-based access control</w:t>
      </w:r>
    </w:p>
    <w:p>
      <w:pPr>
        <w:pStyle w:val="ListParagraph"/>
        <w:numPr>
          <w:ilvl w:val="0"/>
          <w:numId w:val="1"/>
        </w:numPr>
      </w:pPr>
      <w:r>
        <w:t xml:space="preserve">**Retain per regulatory requirements** (e.g., 7 years for financial records)</w:t>
      </w:r>
    </w:p>
    <w:p>
      <w:pPr>
        <w:pStyle w:val="ListParagraph"/>
        <w:numPr>
          <w:ilvl w:val="0"/>
          <w:numId w:val="1"/>
        </w:numPr>
      </w:pPr>
      <w:r>
        <w:t xml:space="preserve">**Regular security audits** and penetration testing recommended</w:t>
      </w:r>
    </w:p>
    <w:p>
      <w:pPr>
        <w:pStyle w:val="Heading3"/>
      </w:pPr>
      <w:r>
        <w:t>Medium Sensitivity Data — 8 field(s)</w:t>
      </w:r>
    </w:p>
    <w:p>
      <w:pPr>
        <w:pStyle w:val="ListParagraph"/>
        <w:numPr>
          <w:ilvl w:val="0"/>
          <w:numId w:val="1"/>
        </w:numPr>
      </w:pPr>
      <w:r>
        <w:t xml:space="preserve">**Encrypt in transit** (TLS 1.2+); encrypt at rest where feasible</w:t>
      </w:r>
    </w:p>
    <w:p>
      <w:pPr>
        <w:pStyle w:val="ListParagraph"/>
        <w:numPr>
          <w:ilvl w:val="0"/>
          <w:numId w:val="1"/>
        </w:numPr>
      </w:pPr>
      <w:r>
        <w:t xml:space="preserve">**Obtain clear consent** before collection; provide opt-out mechanisms</w:t>
      </w:r>
    </w:p>
    <w:p>
      <w:pPr>
        <w:pStyle w:val="ListParagraph"/>
        <w:numPr>
          <w:ilvl w:val="0"/>
          <w:numId w:val="1"/>
        </w:numPr>
      </w:pPr>
      <w:r>
        <w:t xml:space="preserve">**Allow user access and deletion** per GDPR Art. 15-17 (right of access, rectification, erasure)</w:t>
      </w:r>
    </w:p>
    <w:p>
      <w:pPr>
        <w:pStyle w:val="ListParagraph"/>
        <w:numPr>
          <w:ilvl w:val="0"/>
          <w:numId w:val="1"/>
        </w:numPr>
      </w:pPr>
      <w:r>
        <w:t xml:space="preserve">**Pseudonymize** where possible to reduce risk</w:t>
      </w:r>
    </w:p>
    <w:p>
      <w:pPr>
        <w:pStyle w:val="ListParagraph"/>
        <w:numPr>
          <w:ilvl w:val="0"/>
          <w:numId w:val="1"/>
        </w:numPr>
      </w:pPr>
      <w:r>
        <w:t xml:space="preserve">**Define clear retention periods** and automate data deletion</w:t>
      </w:r>
    </w:p>
    <w:p>
      <w:pPr>
        <w:pStyle w:val="Heading3"/>
      </w:pPr>
      <w:r>
        <w:t>Low Sensitivity Data — 26 field(s)</w:t>
      </w:r>
    </w:p>
    <w:p>
      <w:pPr>
        <w:pStyle w:val="ListParagraph"/>
        <w:numPr>
          <w:ilvl w:val="0"/>
          <w:numId w:val="1"/>
        </w:numPr>
      </w:pPr>
      <w:r>
        <w:t xml:space="preserve">**Encrypt in transit** (TLS 1.2+)</w:t>
      </w:r>
    </w:p>
    <w:p>
      <w:pPr>
        <w:pStyle w:val="ListParagraph"/>
        <w:numPr>
          <w:ilvl w:val="0"/>
          <w:numId w:val="1"/>
        </w:numPr>
      </w:pPr>
      <w:r>
        <w:t xml:space="preserve">**Anonymize or aggregate** analytics data where possible</w:t>
      </w:r>
    </w:p>
    <w:p>
      <w:pPr>
        <w:pStyle w:val="ListParagraph"/>
        <w:numPr>
          <w:ilvl w:val="0"/>
          <w:numId w:val="1"/>
        </w:numPr>
      </w:pPr>
      <w:r>
        <w:t xml:space="preserve">**Honor Do Not Track / Global Privacy Control** signals</w:t>
      </w:r>
    </w:p>
    <w:p>
      <w:pPr>
        <w:pStyle w:val="ListParagraph"/>
        <w:numPr>
          <w:ilvl w:val="0"/>
          <w:numId w:val="1"/>
        </w:numPr>
      </w:pPr>
      <w:r>
        <w:t xml:space="preserve">**Set appropriate retention periods** (typically 90 days for logs, 26 months for analytics)</w:t>
      </w:r>
    </w:p>
    <w:p>
      <w:pPr>
        <w:pStyle w:val="ListParagraph"/>
        <w:numPr>
          <w:ilvl w:val="0"/>
          <w:numId w:val="1"/>
        </w:numPr>
      </w:pPr>
      <w:r>
        <w:t xml:space="preserve">**Disclose in privacy policy** even for low-sensitivity data</w:t>
      </w:r>
    </w:p>
    <w:p>
      <w:pPr>
        <w:pBdr>
          <w:bottom w:val="single" w:sz="6" w:space="1" w:color="999999"/>
        </w:pBdr>
      </w:pPr>
    </w:p>
    <w:p>
      <w:r>
        <w:t xml:space="preserve">This classification is auto-generated based on code analysis. It should be reviewed by your legal and security teams. Data classification may change as your application evolves — re-run this scan regularly.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